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DB2E" w14:textId="77777777" w:rsidR="006F5400" w:rsidRDefault="006F5400" w:rsidP="006F5400">
      <w:pPr>
        <w:pStyle w:val="NormalWeb"/>
        <w:jc w:val="center"/>
      </w:pPr>
      <w:r>
        <w:rPr>
          <w:rFonts w:ascii="BookAntiqua" w:hAnsi="BookAntiqua"/>
          <w:b/>
          <w:bCs/>
        </w:rPr>
        <w:t>FOURTH WARD NEIGHBORS GENERAL BODY MEETING MINUTES</w:t>
      </w:r>
    </w:p>
    <w:p w14:paraId="305130B4" w14:textId="7D109C66" w:rsidR="006F5400" w:rsidRDefault="00291071" w:rsidP="006F5400">
      <w:pPr>
        <w:pStyle w:val="NormalWeb"/>
        <w:jc w:val="center"/>
        <w:rPr>
          <w:rFonts w:ascii="BookAntiqua" w:hAnsi="BookAntiqua"/>
          <w:sz w:val="20"/>
          <w:szCs w:val="20"/>
        </w:rPr>
      </w:pPr>
      <w:r>
        <w:rPr>
          <w:rFonts w:ascii="BookAntiqua" w:hAnsi="BookAntiqua"/>
          <w:sz w:val="20"/>
          <w:szCs w:val="20"/>
        </w:rPr>
        <w:t xml:space="preserve">Tuesday, </w:t>
      </w:r>
      <w:r w:rsidR="006B1A44">
        <w:rPr>
          <w:rFonts w:ascii="BookAntiqua" w:hAnsi="BookAntiqua"/>
          <w:sz w:val="20"/>
          <w:szCs w:val="20"/>
        </w:rPr>
        <w:t>February 16, 2021</w:t>
      </w:r>
      <w:r w:rsidR="006F5400">
        <w:rPr>
          <w:rFonts w:ascii="BookAntiqua" w:hAnsi="BookAntiqua"/>
          <w:sz w:val="20"/>
          <w:szCs w:val="20"/>
        </w:rPr>
        <w:br/>
        <w:t>7 pm – (Zoom Teleconference Meeting)</w:t>
      </w:r>
    </w:p>
    <w:p w14:paraId="28F6BDA1" w14:textId="77777777" w:rsidR="00291071" w:rsidRDefault="00291071" w:rsidP="006F5400">
      <w:pPr>
        <w:pStyle w:val="NormalWeb"/>
        <w:jc w:val="center"/>
      </w:pPr>
    </w:p>
    <w:p w14:paraId="4AE94A36" w14:textId="77777777" w:rsidR="00291071" w:rsidRPr="00291071" w:rsidRDefault="006F5400" w:rsidP="00291071">
      <w:pPr>
        <w:pStyle w:val="NormalWeb"/>
        <w:ind w:firstLine="720"/>
        <w:rPr>
          <w:rFonts w:ascii="BookAntiqua" w:hAnsi="BookAntiqua"/>
          <w:b/>
          <w:bCs/>
          <w:sz w:val="20"/>
          <w:szCs w:val="20"/>
        </w:rPr>
      </w:pPr>
      <w:r w:rsidRPr="00291071">
        <w:rPr>
          <w:rFonts w:ascii="BookAntiqua" w:hAnsi="BookAntiqua"/>
          <w:b/>
          <w:bCs/>
          <w:sz w:val="20"/>
          <w:szCs w:val="20"/>
        </w:rPr>
        <w:t>Board members in attendance</w:t>
      </w:r>
      <w:r w:rsidR="00291071" w:rsidRPr="00291071">
        <w:rPr>
          <w:rFonts w:ascii="BookAntiqua" w:hAnsi="BookAntiqua"/>
          <w:b/>
          <w:bCs/>
          <w:sz w:val="20"/>
          <w:szCs w:val="20"/>
        </w:rPr>
        <w:t>:</w:t>
      </w:r>
    </w:p>
    <w:p w14:paraId="7C496AEF" w14:textId="77777777" w:rsidR="00291071" w:rsidRDefault="00291071" w:rsidP="00291071">
      <w:pPr>
        <w:pStyle w:val="NormalWeb"/>
        <w:contextualSpacing/>
        <w:rPr>
          <w:rFonts w:ascii="BookAntiqua" w:hAnsi="BookAntiqua"/>
          <w:sz w:val="20"/>
          <w:szCs w:val="20"/>
        </w:rPr>
      </w:pPr>
      <w:r>
        <w:rPr>
          <w:rFonts w:ascii="BookAntiqua" w:hAnsi="BookAntiqua"/>
          <w:sz w:val="20"/>
          <w:szCs w:val="20"/>
        </w:rPr>
        <w:tab/>
        <w:t>Tom Boyle (President, host)</w:t>
      </w:r>
    </w:p>
    <w:p w14:paraId="6E9FAD8F" w14:textId="1BA56550" w:rsidR="006F5400" w:rsidRPr="00291071" w:rsidRDefault="00291071" w:rsidP="00291071">
      <w:pPr>
        <w:pStyle w:val="NormalWeb"/>
        <w:ind w:firstLine="720"/>
        <w:contextualSpacing/>
      </w:pPr>
      <w:r>
        <w:rPr>
          <w:rFonts w:ascii="BookAntiqua" w:hAnsi="BookAntiqua"/>
          <w:sz w:val="20"/>
          <w:szCs w:val="20"/>
        </w:rPr>
        <w:t>N</w:t>
      </w:r>
      <w:r w:rsidR="006F5400" w:rsidRPr="00E76889">
        <w:rPr>
          <w:rFonts w:ascii="BookAntiqua" w:hAnsi="BookAntiqua"/>
          <w:sz w:val="20"/>
          <w:szCs w:val="20"/>
        </w:rPr>
        <w:t xml:space="preserve">ick Chapman, Vice President </w:t>
      </w:r>
    </w:p>
    <w:p w14:paraId="7ED22F8C" w14:textId="1370B474" w:rsidR="006F5400" w:rsidRDefault="00291071" w:rsidP="00291071">
      <w:pPr>
        <w:pStyle w:val="NormalWeb"/>
        <w:ind w:firstLine="720"/>
        <w:contextualSpacing/>
        <w:rPr>
          <w:rFonts w:ascii="BookAntiqua" w:hAnsi="BookAntiqua"/>
          <w:sz w:val="20"/>
          <w:szCs w:val="20"/>
        </w:rPr>
      </w:pPr>
      <w:r>
        <w:rPr>
          <w:rFonts w:ascii="BookAntiqua" w:hAnsi="BookAntiqua"/>
          <w:sz w:val="20"/>
          <w:szCs w:val="20"/>
        </w:rPr>
        <w:t>M</w:t>
      </w:r>
      <w:r w:rsidR="006F5400">
        <w:rPr>
          <w:rFonts w:ascii="BookAntiqua" w:hAnsi="BookAntiqua"/>
          <w:sz w:val="20"/>
          <w:szCs w:val="20"/>
        </w:rPr>
        <w:t xml:space="preserve">ark Gregory, Treasurer </w:t>
      </w:r>
    </w:p>
    <w:p w14:paraId="5EFCF34B" w14:textId="77777777"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B</w:t>
      </w:r>
      <w:r w:rsidR="006F5400" w:rsidRPr="006F5400">
        <w:rPr>
          <w:rFonts w:ascii="BookAntiqua" w:hAnsi="BookAntiqua"/>
          <w:sz w:val="20"/>
          <w:szCs w:val="20"/>
        </w:rPr>
        <w:t>renda Fuller, Secretary</w:t>
      </w:r>
    </w:p>
    <w:p w14:paraId="35BEC182" w14:textId="77777777"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Forrest Coley, Board Member at Large</w:t>
      </w:r>
    </w:p>
    <w:p w14:paraId="5A6ADF22" w14:textId="77777777"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Jamie Warner Board Member at Large</w:t>
      </w:r>
    </w:p>
    <w:p w14:paraId="43C410AC" w14:textId="77777777" w:rsidR="00291071" w:rsidRDefault="00291071" w:rsidP="00291071">
      <w:pPr>
        <w:pStyle w:val="NormalWeb"/>
        <w:ind w:firstLine="720"/>
        <w:contextualSpacing/>
        <w:rPr>
          <w:rFonts w:ascii="BookAntiqua" w:hAnsi="BookAntiqua"/>
          <w:sz w:val="20"/>
          <w:szCs w:val="20"/>
        </w:rPr>
      </w:pPr>
    </w:p>
    <w:p w14:paraId="16D5219D" w14:textId="77777777" w:rsidR="00291071" w:rsidRDefault="00291071" w:rsidP="00291071">
      <w:pPr>
        <w:pStyle w:val="NormalWeb"/>
        <w:contextualSpacing/>
        <w:rPr>
          <w:rFonts w:ascii="BookAntiqua" w:hAnsi="BookAntiqua"/>
          <w:sz w:val="20"/>
          <w:szCs w:val="20"/>
        </w:rPr>
      </w:pPr>
    </w:p>
    <w:p w14:paraId="4BBFCC26" w14:textId="6F39B214" w:rsidR="00291071" w:rsidRPr="00291071" w:rsidRDefault="00291071" w:rsidP="00291071">
      <w:pPr>
        <w:pStyle w:val="NormalWeb"/>
        <w:contextualSpacing/>
        <w:rPr>
          <w:rFonts w:ascii="BookAntiqua" w:hAnsi="BookAntiqua"/>
          <w:b/>
          <w:bCs/>
          <w:sz w:val="20"/>
          <w:szCs w:val="20"/>
        </w:rPr>
        <w:sectPr w:rsidR="00291071" w:rsidRPr="00291071" w:rsidSect="00291071">
          <w:pgSz w:w="12240" w:h="15840"/>
          <w:pgMar w:top="1440" w:right="1440" w:bottom="1440" w:left="1440" w:header="720" w:footer="720" w:gutter="0"/>
          <w:cols w:space="720"/>
          <w:docGrid w:linePitch="360"/>
        </w:sectPr>
      </w:pPr>
      <w:r w:rsidRPr="00291071">
        <w:rPr>
          <w:rFonts w:ascii="BookAntiqua" w:hAnsi="BookAntiqua"/>
          <w:b/>
          <w:bCs/>
          <w:sz w:val="20"/>
          <w:szCs w:val="20"/>
        </w:rPr>
        <w:tab/>
        <w:t>Meeting Attendees:</w:t>
      </w:r>
    </w:p>
    <w:p w14:paraId="6077091D" w14:textId="5202AD51" w:rsidR="006F5400" w:rsidRDefault="006F5400" w:rsidP="00291071">
      <w:pPr>
        <w:pStyle w:val="NormalWeb"/>
        <w:ind w:firstLine="720"/>
        <w:contextualSpacing/>
        <w:rPr>
          <w:rFonts w:ascii="BookAntiqua" w:hAnsi="BookAntiqua"/>
          <w:sz w:val="20"/>
          <w:szCs w:val="20"/>
        </w:rPr>
      </w:pPr>
      <w:r w:rsidRPr="006F5400">
        <w:rPr>
          <w:rFonts w:ascii="BookAntiqua" w:hAnsi="BookAntiqua"/>
          <w:sz w:val="20"/>
          <w:szCs w:val="20"/>
        </w:rPr>
        <w:t xml:space="preserve"> </w:t>
      </w:r>
    </w:p>
    <w:p w14:paraId="3072CD0E" w14:textId="77777777" w:rsidR="00291071" w:rsidRDefault="00291071" w:rsidP="00291071">
      <w:pPr>
        <w:pStyle w:val="NormalWeb"/>
        <w:ind w:firstLine="720"/>
        <w:contextualSpacing/>
        <w:rPr>
          <w:rFonts w:ascii="BookAntiqua" w:hAnsi="BookAntiqua"/>
          <w:sz w:val="20"/>
          <w:szCs w:val="20"/>
        </w:rPr>
        <w:sectPr w:rsidR="00291071" w:rsidSect="00291071">
          <w:type w:val="continuous"/>
          <w:pgSz w:w="12240" w:h="15840"/>
          <w:pgMar w:top="1440" w:right="1440" w:bottom="1440" w:left="1440" w:header="720" w:footer="720" w:gutter="0"/>
          <w:cols w:num="2" w:space="720"/>
          <w:docGrid w:linePitch="360"/>
        </w:sectPr>
      </w:pPr>
    </w:p>
    <w:p w14:paraId="311C1DBC" w14:textId="4F5CA6AB"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Billy Lockwood</w:t>
      </w:r>
    </w:p>
    <w:p w14:paraId="0DEAD980" w14:textId="14A5FF26"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John Bush</w:t>
      </w:r>
    </w:p>
    <w:p w14:paraId="69336542" w14:textId="705A9109"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Desmond Floyd</w:t>
      </w:r>
    </w:p>
    <w:p w14:paraId="761CE831" w14:textId="17B057B0"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John Fuller</w:t>
      </w:r>
    </w:p>
    <w:p w14:paraId="19ECED54" w14:textId="10DD9DAA" w:rsidR="00291071" w:rsidRDefault="00291071" w:rsidP="00291071">
      <w:pPr>
        <w:pStyle w:val="NormalWeb"/>
        <w:ind w:firstLine="720"/>
        <w:contextualSpacing/>
        <w:rPr>
          <w:rFonts w:ascii="BookAntiqua" w:hAnsi="BookAntiqua"/>
          <w:sz w:val="20"/>
          <w:szCs w:val="20"/>
        </w:rPr>
      </w:pPr>
      <w:r>
        <w:rPr>
          <w:rFonts w:ascii="BookAntiqua" w:hAnsi="BookAntiqua"/>
          <w:sz w:val="20"/>
          <w:szCs w:val="20"/>
        </w:rPr>
        <w:t>S</w:t>
      </w:r>
      <w:r w:rsidR="006B1A44">
        <w:rPr>
          <w:rFonts w:ascii="BookAntiqua" w:hAnsi="BookAntiqua"/>
          <w:sz w:val="20"/>
          <w:szCs w:val="20"/>
        </w:rPr>
        <w:t>usan Bertram</w:t>
      </w:r>
    </w:p>
    <w:p w14:paraId="74B5CF81" w14:textId="0B8B0447"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Hollis Wise</w:t>
      </w:r>
    </w:p>
    <w:p w14:paraId="7E9FA3DB" w14:textId="7012913A"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Rene Vines</w:t>
      </w:r>
    </w:p>
    <w:p w14:paraId="788AB03A" w14:textId="39F246BE"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Royale Hubbard</w:t>
      </w:r>
    </w:p>
    <w:p w14:paraId="11DB669D" w14:textId="2804130C"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Lauren Vereen</w:t>
      </w:r>
    </w:p>
    <w:p w14:paraId="5949528C" w14:textId="2E5359E3"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Mia McDonough</w:t>
      </w:r>
    </w:p>
    <w:p w14:paraId="4E1BA79B" w14:textId="53FF0E94"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Nathan Soldat</w:t>
      </w:r>
    </w:p>
    <w:p w14:paraId="13A0772C" w14:textId="5E2DB135"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Jennifer Keenan</w:t>
      </w:r>
    </w:p>
    <w:p w14:paraId="365F21BD" w14:textId="5F1E0559"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Carrie Bruneck</w:t>
      </w:r>
    </w:p>
    <w:p w14:paraId="1F1FD5F2" w14:textId="51775A97"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Agata Rozga</w:t>
      </w:r>
    </w:p>
    <w:p w14:paraId="14952BFE" w14:textId="26281EF7"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Michael Reeves</w:t>
      </w:r>
    </w:p>
    <w:p w14:paraId="08BFCA8E" w14:textId="6E046126" w:rsidR="00291071" w:rsidRDefault="006B1A44" w:rsidP="006B1A44">
      <w:pPr>
        <w:pStyle w:val="NormalWeb"/>
        <w:ind w:firstLine="720"/>
        <w:contextualSpacing/>
        <w:rPr>
          <w:rFonts w:ascii="BookAntiqua" w:hAnsi="BookAntiqua"/>
          <w:sz w:val="20"/>
          <w:szCs w:val="20"/>
        </w:rPr>
      </w:pPr>
      <w:r>
        <w:rPr>
          <w:rFonts w:ascii="BookAntiqua" w:hAnsi="BookAntiqua"/>
          <w:sz w:val="20"/>
          <w:szCs w:val="20"/>
        </w:rPr>
        <w:t>Linda Posner-Downey</w:t>
      </w:r>
    </w:p>
    <w:p w14:paraId="3F2C3D73" w14:textId="0824183D"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Rochelle Bent</w:t>
      </w:r>
      <w:r>
        <w:rPr>
          <w:rFonts w:ascii="BookAntiqua" w:hAnsi="BookAntiqua"/>
          <w:sz w:val="20"/>
          <w:szCs w:val="20"/>
        </w:rPr>
        <w:tab/>
      </w:r>
      <w:r>
        <w:rPr>
          <w:rFonts w:ascii="BookAntiqua" w:hAnsi="BookAntiqua"/>
          <w:sz w:val="20"/>
          <w:szCs w:val="20"/>
        </w:rPr>
        <w:tab/>
      </w:r>
      <w:r>
        <w:rPr>
          <w:rFonts w:ascii="BookAntiqua" w:hAnsi="BookAntiqua"/>
          <w:sz w:val="20"/>
          <w:szCs w:val="20"/>
        </w:rPr>
        <w:tab/>
      </w:r>
      <w:r>
        <w:rPr>
          <w:rFonts w:ascii="BookAntiqua" w:hAnsi="BookAntiqua"/>
          <w:sz w:val="20"/>
          <w:szCs w:val="20"/>
        </w:rPr>
        <w:tab/>
      </w:r>
      <w:r>
        <w:rPr>
          <w:rFonts w:ascii="BookAntiqua" w:hAnsi="BookAntiqua"/>
          <w:sz w:val="20"/>
          <w:szCs w:val="20"/>
        </w:rPr>
        <w:tab/>
        <w:t>Bessie Sellaway</w:t>
      </w:r>
    </w:p>
    <w:p w14:paraId="6BC297E0" w14:textId="17BD24E7" w:rsidR="006B1A44" w:rsidRDefault="006B1A44" w:rsidP="00291071">
      <w:pPr>
        <w:pStyle w:val="NormalWeb"/>
        <w:ind w:firstLine="720"/>
        <w:contextualSpacing/>
        <w:rPr>
          <w:rFonts w:ascii="BookAntiqua" w:hAnsi="BookAntiqua"/>
          <w:sz w:val="20"/>
          <w:szCs w:val="20"/>
        </w:rPr>
      </w:pPr>
      <w:r>
        <w:rPr>
          <w:rFonts w:ascii="BookAntiqua" w:hAnsi="BookAntiqua"/>
          <w:sz w:val="20"/>
          <w:szCs w:val="20"/>
        </w:rPr>
        <w:t>Annunziata Gianzero</w:t>
      </w:r>
    </w:p>
    <w:p w14:paraId="4E3D6E4F" w14:textId="67A29B50" w:rsidR="006B1A44" w:rsidRDefault="006B1A44" w:rsidP="00291071">
      <w:pPr>
        <w:pStyle w:val="NormalWeb"/>
        <w:ind w:firstLine="720"/>
        <w:contextualSpacing/>
        <w:rPr>
          <w:rFonts w:ascii="BookAntiqua" w:hAnsi="BookAntiqua"/>
          <w:sz w:val="20"/>
          <w:szCs w:val="20"/>
        </w:rPr>
      </w:pPr>
      <w:r>
        <w:rPr>
          <w:rFonts w:ascii="BookAntiqua" w:hAnsi="BookAntiqua"/>
          <w:sz w:val="20"/>
          <w:szCs w:val="20"/>
        </w:rPr>
        <w:t>Samantha Campbell</w:t>
      </w:r>
    </w:p>
    <w:p w14:paraId="27080333" w14:textId="796F8794" w:rsidR="006B1A44" w:rsidRDefault="006B1A44" w:rsidP="006B1A44">
      <w:pPr>
        <w:pStyle w:val="NormalWeb"/>
        <w:ind w:firstLine="720"/>
        <w:contextualSpacing/>
        <w:rPr>
          <w:rFonts w:ascii="BookAntiqua" w:hAnsi="BookAntiqua"/>
          <w:sz w:val="20"/>
          <w:szCs w:val="20"/>
        </w:rPr>
      </w:pPr>
      <w:r>
        <w:rPr>
          <w:rFonts w:ascii="BookAntiqua" w:hAnsi="BookAntiqua"/>
          <w:sz w:val="20"/>
          <w:szCs w:val="20"/>
        </w:rPr>
        <w:t>Richard Corbin</w:t>
      </w:r>
    </w:p>
    <w:p w14:paraId="42908882" w14:textId="77777777" w:rsidR="006B1A44" w:rsidRDefault="006B1A44" w:rsidP="00291071">
      <w:pPr>
        <w:pStyle w:val="NormalWeb"/>
        <w:ind w:firstLine="720"/>
        <w:contextualSpacing/>
        <w:rPr>
          <w:rFonts w:ascii="BookAntiqua" w:hAnsi="BookAntiqua"/>
          <w:sz w:val="20"/>
          <w:szCs w:val="20"/>
        </w:rPr>
      </w:pPr>
    </w:p>
    <w:p w14:paraId="6FF83EEB" w14:textId="23D6B206" w:rsidR="006B1A44" w:rsidRDefault="006B1A44" w:rsidP="00291071">
      <w:pPr>
        <w:pStyle w:val="NormalWeb"/>
        <w:ind w:firstLine="720"/>
        <w:contextualSpacing/>
        <w:rPr>
          <w:rFonts w:ascii="BookAntiqua" w:hAnsi="BookAntiqua"/>
          <w:sz w:val="20"/>
          <w:szCs w:val="20"/>
        </w:rPr>
      </w:pPr>
      <w:r>
        <w:rPr>
          <w:rFonts w:ascii="BookAntiqua" w:hAnsi="BookAntiqua"/>
          <w:sz w:val="20"/>
          <w:szCs w:val="20"/>
        </w:rPr>
        <w:t>Matthias Rost</w:t>
      </w:r>
    </w:p>
    <w:p w14:paraId="4E5066F5" w14:textId="145A4F58" w:rsidR="006B1A44" w:rsidRDefault="006B1A44" w:rsidP="00291071">
      <w:pPr>
        <w:pStyle w:val="NormalWeb"/>
        <w:ind w:firstLine="720"/>
        <w:contextualSpacing/>
        <w:rPr>
          <w:rFonts w:ascii="BookAntiqua" w:hAnsi="BookAntiqua"/>
          <w:sz w:val="20"/>
          <w:szCs w:val="20"/>
        </w:rPr>
      </w:pPr>
      <w:r>
        <w:rPr>
          <w:rFonts w:ascii="BookAntiqua" w:hAnsi="BookAntiqua"/>
          <w:sz w:val="20"/>
          <w:szCs w:val="20"/>
        </w:rPr>
        <w:t>Pranay Harsch</w:t>
      </w:r>
    </w:p>
    <w:p w14:paraId="45D19367" w14:textId="2C0D5D32" w:rsidR="006B1A44" w:rsidRDefault="006B1A44" w:rsidP="00291071">
      <w:pPr>
        <w:pStyle w:val="NormalWeb"/>
        <w:ind w:firstLine="720"/>
        <w:contextualSpacing/>
        <w:rPr>
          <w:rFonts w:ascii="BookAntiqua" w:hAnsi="BookAntiqua"/>
          <w:sz w:val="20"/>
          <w:szCs w:val="20"/>
        </w:rPr>
      </w:pPr>
      <w:r>
        <w:rPr>
          <w:rFonts w:ascii="BookAntiqua" w:hAnsi="BookAntiqua"/>
          <w:sz w:val="20"/>
          <w:szCs w:val="20"/>
        </w:rPr>
        <w:t>Ron Kirkpatrick</w:t>
      </w:r>
    </w:p>
    <w:p w14:paraId="21B705D8" w14:textId="6C571561"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Elkie Weiss</w:t>
      </w:r>
    </w:p>
    <w:p w14:paraId="75C91155" w14:textId="40304E89"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Jenny Lockwood</w:t>
      </w:r>
    </w:p>
    <w:p w14:paraId="3254C317" w14:textId="530A8942"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Jay Tribby</w:t>
      </w:r>
    </w:p>
    <w:p w14:paraId="63B9820B" w14:textId="0BADB549"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Ohnome Uwhebetine</w:t>
      </w:r>
    </w:p>
    <w:p w14:paraId="5E62707F" w14:textId="0750B31B"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Danielle D</w:t>
      </w:r>
    </w:p>
    <w:p w14:paraId="57052477" w14:textId="2662B757"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Betsy Boyle</w:t>
      </w:r>
    </w:p>
    <w:p w14:paraId="09AB899D" w14:textId="5EB45B9B"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Tess Denniss</w:t>
      </w:r>
    </w:p>
    <w:p w14:paraId="25CF3508" w14:textId="7014B394"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Ben Fierman</w:t>
      </w:r>
    </w:p>
    <w:p w14:paraId="193235C5" w14:textId="32E6EC1E"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Marcel Crudele</w:t>
      </w:r>
    </w:p>
    <w:p w14:paraId="36459372" w14:textId="460FAF55"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Priscilla Borders</w:t>
      </w:r>
    </w:p>
    <w:p w14:paraId="26363DD4" w14:textId="6EDA3137"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Courtney RIchard</w:t>
      </w:r>
    </w:p>
    <w:p w14:paraId="09EEB773" w14:textId="47BE529A"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Mike Megeehee</w:t>
      </w:r>
    </w:p>
    <w:p w14:paraId="26006A8E" w14:textId="5C11C8E3"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Jasmine Hall</w:t>
      </w:r>
    </w:p>
    <w:p w14:paraId="790490C4" w14:textId="439B9633"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Camille Hampton</w:t>
      </w:r>
    </w:p>
    <w:p w14:paraId="3F329E79" w14:textId="33085852"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Nick Carse</w:t>
      </w:r>
    </w:p>
    <w:p w14:paraId="13F657C2" w14:textId="0CBDD964"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Marjorie Salman</w:t>
      </w:r>
    </w:p>
    <w:p w14:paraId="6C91721C" w14:textId="5D5EFB0C" w:rsidR="00291071" w:rsidRDefault="00291071" w:rsidP="00291071">
      <w:pPr>
        <w:pStyle w:val="NormalWeb"/>
        <w:contextualSpacing/>
        <w:rPr>
          <w:rFonts w:ascii="BookAntiqua" w:hAnsi="BookAntiqua"/>
          <w:sz w:val="20"/>
          <w:szCs w:val="20"/>
        </w:rPr>
      </w:pPr>
      <w:r>
        <w:rPr>
          <w:rFonts w:ascii="BookAntiqua" w:hAnsi="BookAntiqua"/>
          <w:sz w:val="20"/>
          <w:szCs w:val="20"/>
        </w:rPr>
        <w:tab/>
      </w:r>
      <w:r w:rsidR="006B1A44">
        <w:rPr>
          <w:rFonts w:ascii="BookAntiqua" w:hAnsi="BookAntiqua"/>
          <w:sz w:val="20"/>
          <w:szCs w:val="20"/>
        </w:rPr>
        <w:t>Donald Walker</w:t>
      </w:r>
    </w:p>
    <w:p w14:paraId="22D384B3" w14:textId="66D035B5" w:rsidR="00291071" w:rsidRDefault="006B1A44" w:rsidP="00291071">
      <w:pPr>
        <w:pStyle w:val="NormalWeb"/>
        <w:ind w:firstLine="720"/>
        <w:contextualSpacing/>
        <w:rPr>
          <w:rFonts w:ascii="BookAntiqua" w:hAnsi="BookAntiqua"/>
          <w:sz w:val="20"/>
          <w:szCs w:val="20"/>
        </w:rPr>
      </w:pPr>
      <w:r>
        <w:rPr>
          <w:rFonts w:ascii="BookAntiqua" w:hAnsi="BookAntiqua"/>
          <w:sz w:val="20"/>
          <w:szCs w:val="20"/>
        </w:rPr>
        <w:t>Ashley Walker</w:t>
      </w:r>
    </w:p>
    <w:p w14:paraId="66D24B96" w14:textId="61947D0E" w:rsidR="006B1A44" w:rsidRDefault="006B1A44" w:rsidP="00E76889">
      <w:pPr>
        <w:pStyle w:val="NormalWeb"/>
        <w:rPr>
          <w:rFonts w:ascii="BookAntiqua" w:hAnsi="BookAntiqua"/>
          <w:sz w:val="20"/>
          <w:szCs w:val="20"/>
        </w:rPr>
        <w:sectPr w:rsidR="006B1A44" w:rsidSect="00291071">
          <w:type w:val="continuous"/>
          <w:pgSz w:w="12240" w:h="15840"/>
          <w:pgMar w:top="1440" w:right="1440" w:bottom="1440" w:left="1440" w:header="720" w:footer="720" w:gutter="0"/>
          <w:cols w:num="2" w:space="720"/>
          <w:docGrid w:linePitch="360"/>
        </w:sectPr>
      </w:pPr>
    </w:p>
    <w:p w14:paraId="63748AD4" w14:textId="542B0E25" w:rsidR="006F5400" w:rsidRDefault="006F5400" w:rsidP="00E76889">
      <w:pPr>
        <w:pStyle w:val="NormalWeb"/>
        <w:rPr>
          <w:rFonts w:ascii="BookAntiqua" w:hAnsi="BookAntiqua"/>
          <w:sz w:val="20"/>
          <w:szCs w:val="20"/>
        </w:rPr>
      </w:pPr>
    </w:p>
    <w:p w14:paraId="08FEC0C9" w14:textId="0719E986" w:rsidR="00E76889" w:rsidRDefault="00E76889" w:rsidP="006B1A44">
      <w:pPr>
        <w:pStyle w:val="NormalWeb"/>
        <w:ind w:left="1080"/>
        <w:rPr>
          <w:rFonts w:ascii="BookAntiqua" w:hAnsi="BookAntiqua"/>
          <w:sz w:val="20"/>
          <w:szCs w:val="20"/>
        </w:rPr>
      </w:pPr>
    </w:p>
    <w:p w14:paraId="5F1399CB" w14:textId="060C90F8" w:rsidR="00D349EA" w:rsidRPr="00D349EA" w:rsidRDefault="006B1A44" w:rsidP="00D349EA">
      <w:pPr>
        <w:pStyle w:val="NormalWeb"/>
        <w:numPr>
          <w:ilvl w:val="0"/>
          <w:numId w:val="4"/>
        </w:numPr>
        <w:rPr>
          <w:rFonts w:ascii="BookAntiqua" w:hAnsi="BookAntiqua"/>
          <w:sz w:val="20"/>
          <w:szCs w:val="20"/>
        </w:rPr>
      </w:pPr>
      <w:r>
        <w:rPr>
          <w:rFonts w:ascii="BookAntiqua" w:hAnsi="BookAntiqua"/>
          <w:sz w:val="20"/>
          <w:szCs w:val="20"/>
        </w:rPr>
        <w:t>January 2021</w:t>
      </w:r>
      <w:r w:rsidR="00291071">
        <w:rPr>
          <w:rFonts w:ascii="BookAntiqua" w:hAnsi="BookAntiqua"/>
          <w:sz w:val="20"/>
          <w:szCs w:val="20"/>
        </w:rPr>
        <w:t>minutes approved by voice vote</w:t>
      </w:r>
    </w:p>
    <w:p w14:paraId="5F83DFCA" w14:textId="62E5763F" w:rsidR="00291071" w:rsidRDefault="006B1A44" w:rsidP="006B1A44">
      <w:pPr>
        <w:pStyle w:val="NormalWeb"/>
        <w:numPr>
          <w:ilvl w:val="0"/>
          <w:numId w:val="4"/>
        </w:numPr>
        <w:rPr>
          <w:rFonts w:ascii="BookAntiqua" w:hAnsi="BookAntiqua"/>
          <w:sz w:val="20"/>
          <w:szCs w:val="20"/>
        </w:rPr>
      </w:pPr>
      <w:r>
        <w:rPr>
          <w:rFonts w:ascii="BookAntiqua" w:hAnsi="BookAntiqua"/>
          <w:sz w:val="20"/>
          <w:szCs w:val="20"/>
        </w:rPr>
        <w:t xml:space="preserve">FWN welcomed Fulton County Commissioner Natalie Hall and members of her staff including </w:t>
      </w:r>
      <w:r w:rsidRPr="006B1A44">
        <w:rPr>
          <w:rFonts w:ascii="BookAntiqua" w:hAnsi="BookAntiqua"/>
          <w:sz w:val="20"/>
          <w:szCs w:val="20"/>
        </w:rPr>
        <w:t>Brian Ga</w:t>
      </w:r>
      <w:r>
        <w:rPr>
          <w:rFonts w:ascii="BookAntiqua" w:hAnsi="BookAntiqua"/>
          <w:sz w:val="20"/>
          <w:szCs w:val="20"/>
        </w:rPr>
        <w:t xml:space="preserve">rdner from the Tax Appraisers Office and Dr. David Holland from the Department of Health. </w:t>
      </w:r>
      <w:r w:rsidRPr="006B1A44">
        <w:rPr>
          <w:rFonts w:ascii="BookAntiqua" w:hAnsi="BookAntiqua"/>
          <w:sz w:val="20"/>
          <w:szCs w:val="20"/>
        </w:rPr>
        <w:t>Sequoia K</w:t>
      </w:r>
      <w:r>
        <w:rPr>
          <w:rFonts w:ascii="BookAntiqua" w:hAnsi="BookAntiqua"/>
          <w:sz w:val="20"/>
          <w:szCs w:val="20"/>
        </w:rPr>
        <w:t>irby appeared as Assistant to the Commissioner.  Ms. Hall spoke about the need for county services even in cities and how the Fulton County Commission works closely with the City of Atlanta to provide health and human services.  She noted that while city commissioners are appointed by the Mayor of Atlanta, Fulton County Commissioners like herself are elected by voters.</w:t>
      </w:r>
    </w:p>
    <w:p w14:paraId="17F646ED" w14:textId="2A419A98" w:rsidR="006B1A44" w:rsidRPr="006B1A44" w:rsidRDefault="006B1A44" w:rsidP="006B1A44">
      <w:pPr>
        <w:pStyle w:val="NormalWeb"/>
        <w:ind w:left="1080"/>
        <w:rPr>
          <w:rFonts w:ascii="BookAntiqua" w:hAnsi="BookAntiqua"/>
          <w:sz w:val="20"/>
          <w:szCs w:val="20"/>
        </w:rPr>
      </w:pPr>
      <w:r>
        <w:rPr>
          <w:rFonts w:ascii="BookAntiqua" w:hAnsi="BookAntiqua"/>
          <w:sz w:val="20"/>
          <w:szCs w:val="20"/>
        </w:rPr>
        <w:lastRenderedPageBreak/>
        <w:t xml:space="preserve">Ms. Hall detailed legislation  and programs she is supporting in the areas of health care, drug pricing, rental assistance and food security.  She encouraged FWN members to contact Sequoia Kirby with questions and comments.  </w:t>
      </w:r>
      <w:hyperlink r:id="rId6" w:history="1">
        <w:r w:rsidRPr="006B1A44">
          <w:rPr>
            <w:rStyle w:val="Hyperlink"/>
            <w:rFonts w:ascii="BookAntiqua" w:hAnsi="BookAntiqua"/>
            <w:sz w:val="20"/>
            <w:szCs w:val="20"/>
          </w:rPr>
          <w:t>Sequoia.kirby@fultoncountyga.gov</w:t>
        </w:r>
      </w:hyperlink>
    </w:p>
    <w:p w14:paraId="3F15981F" w14:textId="78FFCA23" w:rsidR="006B1A44" w:rsidRDefault="006B1A44" w:rsidP="004246AE">
      <w:pPr>
        <w:pStyle w:val="NormalWeb"/>
        <w:numPr>
          <w:ilvl w:val="0"/>
          <w:numId w:val="5"/>
        </w:numPr>
        <w:rPr>
          <w:rFonts w:ascii="BookAntiqua" w:hAnsi="BookAntiqua"/>
          <w:sz w:val="20"/>
          <w:szCs w:val="20"/>
        </w:rPr>
      </w:pPr>
      <w:r w:rsidRPr="006B1A44">
        <w:rPr>
          <w:rFonts w:ascii="BookAntiqua" w:hAnsi="BookAntiqua"/>
          <w:sz w:val="20"/>
          <w:szCs w:val="20"/>
        </w:rPr>
        <w:t xml:space="preserve">Dr. David Holland offered an update on the Fulton County coronavirus statistics and the county’s efforts to secure and distribute vaccines.  While the virus’s peak has abated, he encouraged everyone to continue wearing masks , washing hands and social distancing.  Holland </w:t>
      </w:r>
      <w:r>
        <w:rPr>
          <w:rFonts w:ascii="BookAntiqua" w:hAnsi="BookAntiqua"/>
          <w:sz w:val="20"/>
          <w:szCs w:val="20"/>
        </w:rPr>
        <w:t>reported that the county and the state are moving  as quickly as possible with vaccine distribution and cited vaccine availability as the only limiting factor.  If greater quantities are delivered as promised, Fulton County is ready to ramp up the program.  Right now, Fulton County operates three main vaccination sites.  He hopes supply will be available to allow offering vaccines to those aged 18-64 in April.</w:t>
      </w:r>
    </w:p>
    <w:p w14:paraId="71753980" w14:textId="77777777" w:rsidR="006B1A44" w:rsidRDefault="006B1A44" w:rsidP="006B1A44">
      <w:pPr>
        <w:pStyle w:val="NormalWeb"/>
        <w:numPr>
          <w:ilvl w:val="0"/>
          <w:numId w:val="5"/>
        </w:numPr>
        <w:rPr>
          <w:rFonts w:ascii="BookAntiqua" w:hAnsi="BookAntiqua"/>
          <w:sz w:val="20"/>
          <w:szCs w:val="20"/>
        </w:rPr>
      </w:pPr>
      <w:r>
        <w:rPr>
          <w:rFonts w:ascii="BookAntiqua" w:hAnsi="BookAntiqua"/>
          <w:sz w:val="20"/>
          <w:szCs w:val="20"/>
        </w:rPr>
        <w:t>Representatives from Fulton County Commission also took questions from meeting attendees.  Discussed were efforts by the Fulton County Sheriff’s office to combat crime and Atlanta Public Schools (APS) representation on the Fulton County Development Board.</w:t>
      </w:r>
    </w:p>
    <w:p w14:paraId="59A4BB9B" w14:textId="66D795D2" w:rsidR="00291071" w:rsidRDefault="00291071" w:rsidP="006B1A44">
      <w:pPr>
        <w:pStyle w:val="NormalWeb"/>
        <w:numPr>
          <w:ilvl w:val="0"/>
          <w:numId w:val="5"/>
        </w:numPr>
        <w:rPr>
          <w:rFonts w:ascii="BookAntiqua" w:hAnsi="BookAntiqua"/>
          <w:sz w:val="20"/>
          <w:szCs w:val="20"/>
        </w:rPr>
      </w:pPr>
      <w:r>
        <w:rPr>
          <w:rFonts w:ascii="BookAntiqua" w:hAnsi="BookAntiqua"/>
          <w:sz w:val="20"/>
          <w:szCs w:val="20"/>
        </w:rPr>
        <w:t xml:space="preserve">ADP </w:t>
      </w:r>
      <w:r w:rsidR="00D349EA">
        <w:rPr>
          <w:rFonts w:ascii="BookAntiqua" w:hAnsi="BookAntiqua"/>
          <w:sz w:val="20"/>
          <w:szCs w:val="20"/>
        </w:rPr>
        <w:t>Lt. Floyd</w:t>
      </w:r>
      <w:r>
        <w:rPr>
          <w:rFonts w:ascii="BookAntiqua" w:hAnsi="BookAntiqua"/>
          <w:sz w:val="20"/>
          <w:szCs w:val="20"/>
        </w:rPr>
        <w:t xml:space="preserve"> </w:t>
      </w:r>
      <w:r w:rsidR="00D349EA">
        <w:rPr>
          <w:rFonts w:ascii="BookAntiqua" w:hAnsi="BookAntiqua"/>
          <w:sz w:val="20"/>
          <w:szCs w:val="20"/>
        </w:rPr>
        <w:t>reported that vehicle break ins and auto t heft are still a problem in Atlanta despite some success through increased patrolling and surveillance.  He asked residents to assist efforts by not keeping keys in cars or leaving running vehicles unattended.  Lastly, he asked residents to call 911 when needing police assistance.</w:t>
      </w:r>
    </w:p>
    <w:p w14:paraId="2F51A4FD" w14:textId="0B8E65FA" w:rsidR="00291071" w:rsidRDefault="00D349EA" w:rsidP="006B1A44">
      <w:pPr>
        <w:pStyle w:val="NormalWeb"/>
        <w:numPr>
          <w:ilvl w:val="0"/>
          <w:numId w:val="5"/>
        </w:numPr>
        <w:rPr>
          <w:rFonts w:ascii="BookAntiqua" w:hAnsi="BookAntiqua"/>
          <w:sz w:val="20"/>
          <w:szCs w:val="20"/>
        </w:rPr>
      </w:pPr>
      <w:r>
        <w:rPr>
          <w:rFonts w:ascii="BookAntiqua" w:hAnsi="BookAntiqua"/>
          <w:sz w:val="20"/>
          <w:szCs w:val="20"/>
        </w:rPr>
        <w:t>Jennifer Keenan from DT Howard Middle School sought community support for two additional stop signs at the corners of JW Dobbs/Randolph  and Howell/Irwin Streets. Both the Atlanta Public Works Department and the ADOT support this initiative and plan to introduce legislation to further it.  Jay Tribby and Keenan participate in a discussion of traffic calming solutions for the area surrounding the school, particularly on Randolph Street.  All agreed that the stop signs would be the easiest to implement.  After viewing diagrams indicating placement of the proposed signs, FWN voted to approve the two stop signs.</w:t>
      </w:r>
    </w:p>
    <w:p w14:paraId="3FCA20E2" w14:textId="3A5BF302" w:rsidR="00291071" w:rsidRDefault="00D349EA" w:rsidP="006B1A44">
      <w:pPr>
        <w:pStyle w:val="NormalWeb"/>
        <w:numPr>
          <w:ilvl w:val="0"/>
          <w:numId w:val="5"/>
        </w:numPr>
        <w:rPr>
          <w:rFonts w:ascii="BookAntiqua" w:hAnsi="BookAntiqua"/>
          <w:sz w:val="20"/>
          <w:szCs w:val="20"/>
        </w:rPr>
      </w:pPr>
      <w:r>
        <w:rPr>
          <w:rFonts w:ascii="BookAntiqua" w:hAnsi="BookAntiqua"/>
          <w:sz w:val="20"/>
          <w:szCs w:val="20"/>
        </w:rPr>
        <w:t>FWN invites all community members to participate  safe and appropriate social activities.  These include the Community Garden, Hope Hill Cheering Section, Floyd Free Fridge, the Historic Fourth Ward Park Cleanup and the FWN Children’s Easter Egg Hunt.  Details and links for all can be found in the March FWN Activities Flyer mailed March 1</w:t>
      </w:r>
      <w:r w:rsidRPr="00D349EA">
        <w:rPr>
          <w:rFonts w:ascii="BookAntiqua" w:hAnsi="BookAntiqua"/>
          <w:sz w:val="20"/>
          <w:szCs w:val="20"/>
          <w:vertAlign w:val="superscript"/>
        </w:rPr>
        <w:t>st</w:t>
      </w:r>
      <w:r w:rsidR="00291071">
        <w:rPr>
          <w:rFonts w:ascii="BookAntiqua" w:hAnsi="BookAntiqua"/>
          <w:sz w:val="20"/>
          <w:szCs w:val="20"/>
        </w:rPr>
        <w:t>.</w:t>
      </w:r>
    </w:p>
    <w:p w14:paraId="31C47EC0" w14:textId="4EDF4AD5" w:rsidR="00291071" w:rsidRDefault="00D349EA" w:rsidP="006B1A44">
      <w:pPr>
        <w:pStyle w:val="NormalWeb"/>
        <w:numPr>
          <w:ilvl w:val="0"/>
          <w:numId w:val="5"/>
        </w:numPr>
        <w:rPr>
          <w:rFonts w:ascii="BookAntiqua" w:hAnsi="BookAntiqua"/>
          <w:sz w:val="20"/>
          <w:szCs w:val="20"/>
        </w:rPr>
      </w:pPr>
      <w:r>
        <w:rPr>
          <w:rFonts w:ascii="BookAntiqua" w:hAnsi="BookAntiqua"/>
          <w:sz w:val="20"/>
          <w:szCs w:val="20"/>
        </w:rPr>
        <w:t>Communications and Finance teams reported progress.  Monthly communications to FWN mailing list will include Monthly Activities Calendar, monthly newsletter, monthly meeting invitation, Instagram posts and an updated website with links to all meeting minutes.  Finance Chair Mark Gregory reported a current balance of $31,841.  2021 FWN giving will be reviewed in light of no fundraising activities this year.</w:t>
      </w:r>
    </w:p>
    <w:p w14:paraId="5088868E" w14:textId="2835E067" w:rsidR="00D349EA" w:rsidRDefault="00D349EA" w:rsidP="00D349EA">
      <w:pPr>
        <w:pStyle w:val="NormalWeb"/>
        <w:numPr>
          <w:ilvl w:val="0"/>
          <w:numId w:val="5"/>
        </w:numPr>
        <w:rPr>
          <w:rFonts w:ascii="BookAntiqua" w:hAnsi="BookAntiqua"/>
          <w:sz w:val="20"/>
          <w:szCs w:val="20"/>
        </w:rPr>
      </w:pPr>
      <w:r>
        <w:rPr>
          <w:rFonts w:ascii="BookAntiqua" w:hAnsi="BookAntiqua"/>
          <w:sz w:val="20"/>
          <w:szCs w:val="20"/>
        </w:rPr>
        <w:t>Five development areas were considered at this meeting;</w:t>
      </w:r>
    </w:p>
    <w:p w14:paraId="4A3245E5" w14:textId="77777777" w:rsidR="00D349EA" w:rsidRDefault="00D349EA" w:rsidP="00D349EA">
      <w:pPr>
        <w:pStyle w:val="NormalWeb"/>
        <w:numPr>
          <w:ilvl w:val="1"/>
          <w:numId w:val="5"/>
        </w:numPr>
        <w:rPr>
          <w:rFonts w:ascii="BookAntiqua" w:hAnsi="BookAntiqua"/>
          <w:sz w:val="20"/>
          <w:szCs w:val="20"/>
        </w:rPr>
      </w:pPr>
      <w:r>
        <w:rPr>
          <w:rFonts w:ascii="BookAntiqua" w:hAnsi="BookAntiqua"/>
          <w:sz w:val="20"/>
          <w:szCs w:val="20"/>
        </w:rPr>
        <w:t>Members voted to support King of Pops expansion plans at 552 Decatur Street</w:t>
      </w:r>
    </w:p>
    <w:p w14:paraId="1177AC44" w14:textId="61531AD6" w:rsidR="00D349EA" w:rsidRDefault="00D349EA" w:rsidP="00D349EA">
      <w:pPr>
        <w:pStyle w:val="NormalWeb"/>
        <w:numPr>
          <w:ilvl w:val="1"/>
          <w:numId w:val="5"/>
        </w:numPr>
        <w:rPr>
          <w:rFonts w:ascii="BookAntiqua" w:hAnsi="BookAntiqua"/>
          <w:sz w:val="20"/>
          <w:szCs w:val="20"/>
        </w:rPr>
      </w:pPr>
      <w:r>
        <w:rPr>
          <w:rFonts w:ascii="BookAntiqua" w:hAnsi="BookAntiqua"/>
          <w:sz w:val="20"/>
          <w:szCs w:val="20"/>
        </w:rPr>
        <w:t>Members were asked to provide input to projects proposed in the Freedom Park Master Plan by February 22.</w:t>
      </w:r>
    </w:p>
    <w:p w14:paraId="7456DEAB" w14:textId="77777777" w:rsidR="00D349EA" w:rsidRDefault="00D349EA" w:rsidP="00D349EA">
      <w:pPr>
        <w:pStyle w:val="NormalWeb"/>
        <w:numPr>
          <w:ilvl w:val="1"/>
          <w:numId w:val="5"/>
        </w:numPr>
        <w:rPr>
          <w:rFonts w:ascii="BookAntiqua" w:hAnsi="BookAntiqua"/>
          <w:sz w:val="20"/>
          <w:szCs w:val="20"/>
        </w:rPr>
      </w:pPr>
      <w:r>
        <w:rPr>
          <w:rFonts w:ascii="BookAntiqua" w:hAnsi="BookAntiqua"/>
          <w:sz w:val="20"/>
          <w:szCs w:val="20"/>
        </w:rPr>
        <w:t>Nathan Soldat reviewed updates to the Sub Area Master Plan for the Beltline.  The Plan, which will be finalized in March 2021 reflects previous community feedback.</w:t>
      </w:r>
    </w:p>
    <w:p w14:paraId="76AFA7A9" w14:textId="77777777" w:rsidR="00D349EA" w:rsidRDefault="00D349EA" w:rsidP="00D349EA">
      <w:pPr>
        <w:pStyle w:val="NormalWeb"/>
        <w:numPr>
          <w:ilvl w:val="1"/>
          <w:numId w:val="5"/>
        </w:numPr>
        <w:rPr>
          <w:rFonts w:ascii="BookAntiqua" w:hAnsi="BookAntiqua"/>
          <w:sz w:val="20"/>
          <w:szCs w:val="20"/>
        </w:rPr>
      </w:pPr>
      <w:r>
        <w:rPr>
          <w:rFonts w:ascii="BookAntiqua" w:hAnsi="BookAntiqua"/>
          <w:sz w:val="20"/>
          <w:szCs w:val="20"/>
        </w:rPr>
        <w:t>Members voted to support Marcel Crudele’s application for zoning variances at 180 Sampson Street.</w:t>
      </w:r>
    </w:p>
    <w:p w14:paraId="521AA551" w14:textId="634B0573" w:rsidR="00291071" w:rsidRPr="00D349EA" w:rsidRDefault="00D349EA" w:rsidP="00D349EA">
      <w:pPr>
        <w:pStyle w:val="NormalWeb"/>
        <w:numPr>
          <w:ilvl w:val="1"/>
          <w:numId w:val="5"/>
        </w:numPr>
        <w:rPr>
          <w:rFonts w:ascii="BookAntiqua" w:hAnsi="BookAntiqua"/>
          <w:sz w:val="20"/>
          <w:szCs w:val="20"/>
        </w:rPr>
      </w:pPr>
      <w:r w:rsidRPr="00D349EA">
        <w:rPr>
          <w:rFonts w:ascii="BookAntiqua" w:hAnsi="BookAntiqua"/>
          <w:sz w:val="20"/>
          <w:szCs w:val="20"/>
        </w:rPr>
        <w:t>Andy Scheggenburger reviewed final zoning and land use changes sought for HDDC’s Revitalization Plan for Henderson Place. After considering the effect proposed zoning changes would have on the surrounding area, members voted to approve the project while continuing to explore the ramifications of these changes.</w:t>
      </w:r>
    </w:p>
    <w:p w14:paraId="6F635DE9" w14:textId="14A3B15A" w:rsidR="00291071" w:rsidRDefault="00291071" w:rsidP="006B1A44">
      <w:pPr>
        <w:pStyle w:val="NormalWeb"/>
        <w:numPr>
          <w:ilvl w:val="0"/>
          <w:numId w:val="5"/>
        </w:numPr>
        <w:rPr>
          <w:rFonts w:ascii="BookAntiqua" w:hAnsi="BookAntiqua"/>
          <w:sz w:val="20"/>
          <w:szCs w:val="20"/>
        </w:rPr>
      </w:pPr>
      <w:r>
        <w:rPr>
          <w:rFonts w:ascii="BookAntiqua" w:hAnsi="BookAntiqua"/>
          <w:sz w:val="20"/>
          <w:szCs w:val="20"/>
        </w:rPr>
        <w:t xml:space="preserve">The next FWN meeting will be held via Zoom at 7 pm on Tuesday, </w:t>
      </w:r>
      <w:r w:rsidR="00D349EA">
        <w:rPr>
          <w:rFonts w:ascii="BookAntiqua" w:hAnsi="BookAntiqua"/>
          <w:sz w:val="20"/>
          <w:szCs w:val="20"/>
        </w:rPr>
        <w:t>March 16.  Our guest at this meeting will be Emma Tinsley of the O4W Business Alliance.</w:t>
      </w:r>
    </w:p>
    <w:p w14:paraId="2A7157F8" w14:textId="77777777" w:rsidR="00291071" w:rsidRDefault="00291071" w:rsidP="00291071">
      <w:pPr>
        <w:pStyle w:val="NormalWeb"/>
        <w:ind w:left="1080"/>
        <w:rPr>
          <w:rFonts w:ascii="BookAntiqua" w:hAnsi="BookAntiqua"/>
          <w:sz w:val="20"/>
          <w:szCs w:val="20"/>
        </w:rPr>
      </w:pPr>
    </w:p>
    <w:p w14:paraId="4213FC10" w14:textId="77777777" w:rsidR="00213655" w:rsidRPr="006F5400" w:rsidRDefault="00213655" w:rsidP="0082261F">
      <w:pPr>
        <w:pStyle w:val="NormalWeb"/>
        <w:rPr>
          <w:rFonts w:ascii="BookAntiqua" w:hAnsi="BookAntiqua"/>
          <w:sz w:val="20"/>
          <w:szCs w:val="20"/>
        </w:rPr>
      </w:pPr>
    </w:p>
    <w:sectPr w:rsidR="00213655" w:rsidRPr="006F5400" w:rsidSect="002910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Antiqu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483"/>
    <w:multiLevelType w:val="multilevel"/>
    <w:tmpl w:val="4858BB1C"/>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43C27"/>
    <w:multiLevelType w:val="hybridMultilevel"/>
    <w:tmpl w:val="7666CA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B5F06"/>
    <w:multiLevelType w:val="hybridMultilevel"/>
    <w:tmpl w:val="41A48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487CD9"/>
    <w:multiLevelType w:val="multilevel"/>
    <w:tmpl w:val="B44080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D2606"/>
    <w:multiLevelType w:val="hybridMultilevel"/>
    <w:tmpl w:val="FFB0B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7F2E7F"/>
    <w:multiLevelType w:val="hybridMultilevel"/>
    <w:tmpl w:val="55D0A3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1806FD"/>
    <w:multiLevelType w:val="hybridMultilevel"/>
    <w:tmpl w:val="72D8376C"/>
    <w:lvl w:ilvl="0" w:tplc="13F87B4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D216EA"/>
    <w:multiLevelType w:val="multilevel"/>
    <w:tmpl w:val="8E48E804"/>
    <w:lvl w:ilvl="0">
      <w:start w:val="2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7"/>
  </w:num>
  <w:num w:numId="3">
    <w:abstractNumId w:val="3"/>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00"/>
    <w:rsid w:val="0010542A"/>
    <w:rsid w:val="00213655"/>
    <w:rsid w:val="00250C4C"/>
    <w:rsid w:val="002519AD"/>
    <w:rsid w:val="00291071"/>
    <w:rsid w:val="003403CE"/>
    <w:rsid w:val="0044492A"/>
    <w:rsid w:val="0051290D"/>
    <w:rsid w:val="006B1A44"/>
    <w:rsid w:val="006F5400"/>
    <w:rsid w:val="0082261F"/>
    <w:rsid w:val="00B33618"/>
    <w:rsid w:val="00CB460C"/>
    <w:rsid w:val="00D349EA"/>
    <w:rsid w:val="00DB0CAA"/>
    <w:rsid w:val="00E503BD"/>
    <w:rsid w:val="00E76889"/>
    <w:rsid w:val="00F1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2BAF"/>
  <w15:chartTrackingRefBased/>
  <w15:docId w15:val="{310D19D2-6BD6-FF45-867C-32B20942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9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540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F5400"/>
    <w:rPr>
      <w:color w:val="0563C1" w:themeColor="hyperlink"/>
      <w:u w:val="single"/>
    </w:rPr>
  </w:style>
  <w:style w:type="character" w:styleId="UnresolvedMention">
    <w:name w:val="Unresolved Mention"/>
    <w:basedOn w:val="DefaultParagraphFont"/>
    <w:uiPriority w:val="99"/>
    <w:semiHidden/>
    <w:unhideWhenUsed/>
    <w:rsid w:val="006F5400"/>
    <w:rPr>
      <w:color w:val="605E5C"/>
      <w:shd w:val="clear" w:color="auto" w:fill="E1DFDD"/>
    </w:rPr>
  </w:style>
  <w:style w:type="character" w:customStyle="1" w:styleId="Heading1Char">
    <w:name w:val="Heading 1 Char"/>
    <w:basedOn w:val="DefaultParagraphFont"/>
    <w:link w:val="Heading1"/>
    <w:uiPriority w:val="9"/>
    <w:rsid w:val="00D349EA"/>
    <w:rPr>
      <w:rFonts w:ascii="Times New Roman" w:eastAsia="Times New Roman" w:hAnsi="Times New Roman" w:cs="Times New Roman"/>
      <w:b/>
      <w:bCs/>
      <w:kern w:val="36"/>
      <w:sz w:val="48"/>
      <w:szCs w:val="48"/>
    </w:rPr>
  </w:style>
  <w:style w:type="character" w:customStyle="1" w:styleId="by">
    <w:name w:val="by"/>
    <w:basedOn w:val="DefaultParagraphFont"/>
    <w:rsid w:val="00D349EA"/>
  </w:style>
  <w:style w:type="character" w:customStyle="1" w:styleId="apple-converted-space">
    <w:name w:val="apple-converted-space"/>
    <w:basedOn w:val="DefaultParagraphFont"/>
    <w:rsid w:val="00D349EA"/>
  </w:style>
  <w:style w:type="character" w:customStyle="1" w:styleId="greytext">
    <w:name w:val="greytext"/>
    <w:basedOn w:val="DefaultParagraphFont"/>
    <w:rsid w:val="00D34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554005">
      <w:bodyDiv w:val="1"/>
      <w:marLeft w:val="0"/>
      <w:marRight w:val="0"/>
      <w:marTop w:val="0"/>
      <w:marBottom w:val="0"/>
      <w:divBdr>
        <w:top w:val="none" w:sz="0" w:space="0" w:color="auto"/>
        <w:left w:val="none" w:sz="0" w:space="0" w:color="auto"/>
        <w:bottom w:val="none" w:sz="0" w:space="0" w:color="auto"/>
        <w:right w:val="none" w:sz="0" w:space="0" w:color="auto"/>
      </w:divBdr>
      <w:divsChild>
        <w:div w:id="1978948598">
          <w:marLeft w:val="0"/>
          <w:marRight w:val="0"/>
          <w:marTop w:val="0"/>
          <w:marBottom w:val="0"/>
          <w:divBdr>
            <w:top w:val="none" w:sz="0" w:space="0" w:color="auto"/>
            <w:left w:val="none" w:sz="0" w:space="0" w:color="auto"/>
            <w:bottom w:val="none" w:sz="0" w:space="0" w:color="auto"/>
            <w:right w:val="none" w:sz="0" w:space="0" w:color="auto"/>
          </w:divBdr>
          <w:divsChild>
            <w:div w:id="1872641872">
              <w:marLeft w:val="0"/>
              <w:marRight w:val="0"/>
              <w:marTop w:val="0"/>
              <w:marBottom w:val="0"/>
              <w:divBdr>
                <w:top w:val="none" w:sz="0" w:space="0" w:color="auto"/>
                <w:left w:val="none" w:sz="0" w:space="0" w:color="auto"/>
                <w:bottom w:val="none" w:sz="0" w:space="0" w:color="auto"/>
                <w:right w:val="none" w:sz="0" w:space="0" w:color="auto"/>
              </w:divBdr>
              <w:divsChild>
                <w:div w:id="1398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2984">
          <w:marLeft w:val="0"/>
          <w:marRight w:val="0"/>
          <w:marTop w:val="0"/>
          <w:marBottom w:val="0"/>
          <w:divBdr>
            <w:top w:val="none" w:sz="0" w:space="0" w:color="auto"/>
            <w:left w:val="none" w:sz="0" w:space="0" w:color="auto"/>
            <w:bottom w:val="none" w:sz="0" w:space="0" w:color="auto"/>
            <w:right w:val="none" w:sz="0" w:space="0" w:color="auto"/>
          </w:divBdr>
          <w:divsChild>
            <w:div w:id="983239331">
              <w:marLeft w:val="0"/>
              <w:marRight w:val="0"/>
              <w:marTop w:val="0"/>
              <w:marBottom w:val="0"/>
              <w:divBdr>
                <w:top w:val="none" w:sz="0" w:space="0" w:color="auto"/>
                <w:left w:val="none" w:sz="0" w:space="0" w:color="auto"/>
                <w:bottom w:val="none" w:sz="0" w:space="0" w:color="auto"/>
                <w:right w:val="none" w:sz="0" w:space="0" w:color="auto"/>
              </w:divBdr>
              <w:divsChild>
                <w:div w:id="79614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6360">
      <w:bodyDiv w:val="1"/>
      <w:marLeft w:val="0"/>
      <w:marRight w:val="0"/>
      <w:marTop w:val="0"/>
      <w:marBottom w:val="0"/>
      <w:divBdr>
        <w:top w:val="none" w:sz="0" w:space="0" w:color="auto"/>
        <w:left w:val="none" w:sz="0" w:space="0" w:color="auto"/>
        <w:bottom w:val="none" w:sz="0" w:space="0" w:color="auto"/>
        <w:right w:val="none" w:sz="0" w:space="0" w:color="auto"/>
      </w:divBdr>
      <w:divsChild>
        <w:div w:id="749084201">
          <w:marLeft w:val="0"/>
          <w:marRight w:val="0"/>
          <w:marTop w:val="0"/>
          <w:marBottom w:val="120"/>
          <w:divBdr>
            <w:top w:val="none" w:sz="0" w:space="0" w:color="auto"/>
            <w:left w:val="none" w:sz="0" w:space="0" w:color="auto"/>
            <w:bottom w:val="none" w:sz="0" w:space="0" w:color="auto"/>
            <w:right w:val="none" w:sz="0" w:space="0" w:color="auto"/>
          </w:divBdr>
          <w:divsChild>
            <w:div w:id="1995065013">
              <w:marLeft w:val="0"/>
              <w:marRight w:val="0"/>
              <w:marTop w:val="0"/>
              <w:marBottom w:val="0"/>
              <w:divBdr>
                <w:top w:val="none" w:sz="0" w:space="0" w:color="auto"/>
                <w:left w:val="none" w:sz="0" w:space="0" w:color="auto"/>
                <w:bottom w:val="none" w:sz="0" w:space="0" w:color="auto"/>
                <w:right w:val="none" w:sz="0" w:space="0" w:color="auto"/>
              </w:divBdr>
            </w:div>
          </w:divsChild>
        </w:div>
        <w:div w:id="628630357">
          <w:marLeft w:val="0"/>
          <w:marRight w:val="0"/>
          <w:marTop w:val="0"/>
          <w:marBottom w:val="150"/>
          <w:divBdr>
            <w:top w:val="none" w:sz="0" w:space="0" w:color="auto"/>
            <w:left w:val="none" w:sz="0" w:space="0" w:color="auto"/>
            <w:bottom w:val="none" w:sz="0" w:space="0" w:color="auto"/>
            <w:right w:val="none" w:sz="0" w:space="0" w:color="auto"/>
          </w:divBdr>
        </w:div>
        <w:div w:id="1803890050">
          <w:marLeft w:val="0"/>
          <w:marRight w:val="0"/>
          <w:marTop w:val="0"/>
          <w:marBottom w:val="0"/>
          <w:divBdr>
            <w:top w:val="none" w:sz="0" w:space="0" w:color="auto"/>
            <w:left w:val="none" w:sz="0" w:space="0" w:color="auto"/>
            <w:bottom w:val="single" w:sz="6" w:space="0" w:color="DDDDDD"/>
            <w:right w:val="none" w:sz="0" w:space="0" w:color="auto"/>
          </w:divBdr>
          <w:divsChild>
            <w:div w:id="371879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quoia.kirby@fultoncountyg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BD50-6FFA-3540-8E69-394386CD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Fuller</dc:creator>
  <cp:keywords/>
  <dc:description/>
  <cp:lastModifiedBy>Tom Boyle</cp:lastModifiedBy>
  <cp:revision>2</cp:revision>
  <dcterms:created xsi:type="dcterms:W3CDTF">2021-03-07T19:16:00Z</dcterms:created>
  <dcterms:modified xsi:type="dcterms:W3CDTF">2021-03-07T19:16:00Z</dcterms:modified>
</cp:coreProperties>
</file>